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r w:rsidR="00B03ED0">
        <w:rPr>
          <w:rFonts w:ascii="Arial" w:hAnsi="Arial" w:cs="Arial"/>
          <w:sz w:val="24"/>
          <w:szCs w:val="24"/>
        </w:rPr>
        <w:t xml:space="preserve">  The purpose of this contract is for a Contractor to provide guidance and support to the Chief Medical Officer and other key personnel with analysis and implementation of a Quality Rating System (QRS) for Plan Year 2017 and 2018.</w:t>
      </w:r>
    </w:p>
    <w:p w:rsidR="00005418" w:rsidRDefault="00005418" w:rsidP="00005418">
      <w:pPr>
        <w:ind w:left="720"/>
        <w:rPr>
          <w:rFonts w:ascii="Arial" w:hAnsi="Arial" w:cs="Arial"/>
          <w:b/>
          <w:sz w:val="24"/>
          <w:szCs w:val="24"/>
          <w:u w:val="single"/>
        </w:rPr>
      </w:pPr>
    </w:p>
    <w:p w:rsidR="00B03ED0" w:rsidRPr="00B03ED0" w:rsidRDefault="00B03ED0" w:rsidP="00B03ED0">
      <w:pPr>
        <w:ind w:left="720"/>
        <w:contextualSpacing/>
        <w:rPr>
          <w:rFonts w:ascii="Arial" w:hAnsi="Arial" w:cs="Arial"/>
          <w:sz w:val="24"/>
          <w:szCs w:val="22"/>
        </w:rPr>
      </w:pPr>
      <w:r w:rsidRPr="00B03ED0">
        <w:rPr>
          <w:rFonts w:ascii="Arial" w:hAnsi="Arial" w:cs="Arial"/>
          <w:sz w:val="24"/>
          <w:szCs w:val="22"/>
        </w:rPr>
        <w:t>Covered California is exploring reporting QRS scores for health plans in three (3) to six (6) “Quality Regions” in addition to statewide reports.  This is due to the well documented variation in both satisfaction and clinical quality by geography across the state.  Contractor will also work with CMS to ensure support and approval of California’s proposal.</w:t>
      </w:r>
    </w:p>
    <w:p w:rsidR="00B03ED0" w:rsidRPr="00B03ED0" w:rsidRDefault="00B03ED0" w:rsidP="00B03ED0">
      <w:pPr>
        <w:ind w:left="720"/>
        <w:contextualSpacing/>
        <w:rPr>
          <w:rFonts w:ascii="Arial" w:hAnsi="Arial" w:cs="Arial"/>
          <w:sz w:val="24"/>
          <w:szCs w:val="22"/>
        </w:rPr>
      </w:pPr>
    </w:p>
    <w:p w:rsidR="00B03ED0" w:rsidRPr="00B03ED0" w:rsidRDefault="00B03ED0" w:rsidP="00B03ED0">
      <w:pPr>
        <w:ind w:left="720"/>
        <w:rPr>
          <w:rFonts w:ascii="Arial" w:hAnsi="Arial" w:cs="Arial"/>
          <w:b/>
          <w:sz w:val="28"/>
          <w:szCs w:val="24"/>
          <w:u w:val="single"/>
        </w:rPr>
      </w:pPr>
      <w:r w:rsidRPr="00B03ED0">
        <w:rPr>
          <w:rFonts w:ascii="Arial" w:hAnsi="Arial" w:cs="Arial"/>
          <w:sz w:val="24"/>
          <w:szCs w:val="22"/>
        </w:rPr>
        <w:t>Contractor will also design provider-level performance information for consumers on the Exchange’s provider directory.  This will allow consumers to review the performance of a provider prior to making a selection.</w:t>
      </w:r>
    </w:p>
    <w:p w:rsidR="00B03ED0" w:rsidRPr="00322729" w:rsidRDefault="00B03ED0" w:rsidP="00005418">
      <w:pPr>
        <w:ind w:left="720"/>
        <w:rPr>
          <w:rFonts w:ascii="Arial" w:hAnsi="Arial" w:cs="Arial"/>
          <w:b/>
          <w:sz w:val="24"/>
          <w:szCs w:val="24"/>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B03ED0">
        <w:rPr>
          <w:rFonts w:ascii="Arial" w:hAnsi="Arial" w:cs="Arial"/>
          <w:sz w:val="24"/>
          <w:szCs w:val="24"/>
        </w:rPr>
        <w:t xml:space="preserve"> </w:t>
      </w:r>
    </w:p>
    <w:p w:rsidR="00B03ED0" w:rsidRPr="00B03ED0" w:rsidRDefault="00B03ED0" w:rsidP="00B03ED0">
      <w:pPr>
        <w:ind w:left="720"/>
        <w:rPr>
          <w:rFonts w:ascii="Arial" w:hAnsi="Arial" w:cs="Arial"/>
          <w:sz w:val="24"/>
          <w:szCs w:val="22"/>
        </w:rPr>
      </w:pPr>
      <w:r w:rsidRPr="00B03ED0">
        <w:rPr>
          <w:rFonts w:ascii="Arial" w:hAnsi="Arial" w:cs="Arial"/>
          <w:sz w:val="24"/>
          <w:szCs w:val="22"/>
        </w:rPr>
        <w:t>Contractor will work together with the Chief Medical Officer and other key personnel to provide the expert analysis required to finalize and implement a QRS for Plan Year 2017 and 2018.  This will include exploring reporting QRS scores for health plans in three (3) to six (6) “quality regions” in addition to statewide reports.</w:t>
      </w:r>
    </w:p>
    <w:p w:rsidR="00B03ED0" w:rsidRDefault="00B03ED0" w:rsidP="00B03ED0">
      <w:pPr>
        <w:ind w:left="720"/>
        <w:rPr>
          <w:rFonts w:ascii="Arial" w:hAnsi="Arial" w:cs="Arial"/>
          <w:sz w:val="24"/>
          <w:szCs w:val="22"/>
        </w:rPr>
      </w:pPr>
    </w:p>
    <w:p w:rsidR="00B03ED0" w:rsidRPr="00B03ED0" w:rsidRDefault="00B03ED0" w:rsidP="00B03ED0">
      <w:pPr>
        <w:ind w:left="720"/>
        <w:rPr>
          <w:rFonts w:ascii="Arial" w:hAnsi="Arial" w:cs="Arial"/>
          <w:sz w:val="24"/>
          <w:szCs w:val="22"/>
        </w:rPr>
      </w:pPr>
      <w:r w:rsidRPr="00B03ED0">
        <w:rPr>
          <w:rFonts w:ascii="Arial" w:hAnsi="Arial" w:cs="Arial"/>
          <w:sz w:val="24"/>
          <w:szCs w:val="22"/>
        </w:rPr>
        <w:t>Covered California anticipates offering consumers the ability to view a health plan provider directory in the near future.  The Contractor will design provider-level performance information for consumers to review as a part of this directory, and assist with timely implementation.</w:t>
      </w:r>
    </w:p>
    <w:p w:rsidR="00B03ED0" w:rsidRDefault="00B03ED0" w:rsidP="00B03ED0">
      <w:pPr>
        <w:ind w:left="720"/>
        <w:rPr>
          <w:rFonts w:ascii="Arial" w:hAnsi="Arial" w:cs="Arial"/>
          <w:sz w:val="24"/>
          <w:szCs w:val="22"/>
        </w:rPr>
      </w:pPr>
    </w:p>
    <w:p w:rsidR="00B03ED0" w:rsidRPr="00B03ED0" w:rsidRDefault="00B03ED0" w:rsidP="00B03ED0">
      <w:pPr>
        <w:ind w:left="720"/>
        <w:rPr>
          <w:rFonts w:ascii="Arial" w:hAnsi="Arial" w:cs="Arial"/>
          <w:sz w:val="24"/>
          <w:szCs w:val="22"/>
        </w:rPr>
      </w:pPr>
      <w:r w:rsidRPr="00B03ED0">
        <w:rPr>
          <w:rFonts w:ascii="Arial" w:hAnsi="Arial" w:cs="Arial"/>
          <w:sz w:val="24"/>
          <w:szCs w:val="22"/>
        </w:rPr>
        <w:t xml:space="preserve">Contractor Tasks and Responsibilities –   </w:t>
      </w:r>
    </w:p>
    <w:p w:rsidR="00B03ED0" w:rsidRPr="00B03ED0" w:rsidRDefault="00B03ED0" w:rsidP="00B03ED0">
      <w:pPr>
        <w:ind w:left="720"/>
        <w:rPr>
          <w:rFonts w:ascii="Arial" w:hAnsi="Arial" w:cs="Arial"/>
          <w:sz w:val="24"/>
          <w:szCs w:val="22"/>
        </w:rPr>
      </w:pPr>
      <w:r>
        <w:rPr>
          <w:rFonts w:ascii="Arial" w:hAnsi="Arial" w:cs="Arial"/>
          <w:sz w:val="24"/>
          <w:szCs w:val="22"/>
        </w:rPr>
        <w:lastRenderedPageBreak/>
        <w:t>The Contractor will</w:t>
      </w:r>
      <w:r w:rsidRPr="00B03ED0">
        <w:rPr>
          <w:rFonts w:ascii="Arial" w:hAnsi="Arial" w:cs="Arial"/>
          <w:sz w:val="24"/>
          <w:szCs w:val="22"/>
        </w:rPr>
        <w:t xml:space="preserve"> provide:</w:t>
      </w:r>
    </w:p>
    <w:p w:rsidR="00B03ED0" w:rsidRDefault="00B03ED0" w:rsidP="00B03ED0">
      <w:pPr>
        <w:ind w:left="720"/>
        <w:rPr>
          <w:rFonts w:ascii="Arial" w:hAnsi="Arial" w:cs="Arial"/>
          <w:sz w:val="24"/>
          <w:szCs w:val="22"/>
        </w:rPr>
      </w:pPr>
    </w:p>
    <w:p w:rsidR="00B03ED0" w:rsidRDefault="00B03ED0" w:rsidP="00B03ED0">
      <w:pPr>
        <w:pStyle w:val="ListParagraph"/>
        <w:numPr>
          <w:ilvl w:val="0"/>
          <w:numId w:val="42"/>
        </w:numPr>
        <w:rPr>
          <w:rFonts w:ascii="Arial" w:hAnsi="Arial" w:cs="Arial"/>
          <w:sz w:val="24"/>
          <w:szCs w:val="22"/>
        </w:rPr>
      </w:pPr>
      <w:r w:rsidRPr="00B03ED0">
        <w:rPr>
          <w:rFonts w:ascii="Arial" w:hAnsi="Arial" w:cs="Arial"/>
          <w:sz w:val="24"/>
          <w:szCs w:val="22"/>
        </w:rPr>
        <w:t>A feasibility analysis of regional QRS health plan ratings - Identify approaches and assess feasibility to evaluate influence of regional geographic factors on health plan HEDIS and CAHPS results;</w:t>
      </w:r>
    </w:p>
    <w:p w:rsidR="00B03ED0" w:rsidRDefault="00B03ED0" w:rsidP="00B03ED0">
      <w:pPr>
        <w:pStyle w:val="ListParagraph"/>
        <w:ind w:left="1440"/>
        <w:rPr>
          <w:rFonts w:ascii="Arial" w:hAnsi="Arial" w:cs="Arial"/>
          <w:sz w:val="24"/>
          <w:szCs w:val="22"/>
        </w:rPr>
      </w:pPr>
    </w:p>
    <w:p w:rsidR="00B03ED0" w:rsidRDefault="00B03ED0" w:rsidP="00B03ED0">
      <w:pPr>
        <w:pStyle w:val="ListParagraph"/>
        <w:numPr>
          <w:ilvl w:val="0"/>
          <w:numId w:val="42"/>
        </w:numPr>
        <w:rPr>
          <w:rFonts w:ascii="Arial" w:hAnsi="Arial" w:cs="Arial"/>
          <w:sz w:val="24"/>
          <w:szCs w:val="22"/>
        </w:rPr>
      </w:pPr>
      <w:r w:rsidRPr="00B03ED0">
        <w:rPr>
          <w:rFonts w:ascii="Arial" w:hAnsi="Arial" w:cs="Arial"/>
          <w:sz w:val="24"/>
          <w:szCs w:val="22"/>
        </w:rPr>
        <w:t>An analysis of regional QRS data - Assess proportion of QHP variation that is likely geographic, such as practice patterns and care infrastructure vs. metal tier, or other variables;</w:t>
      </w:r>
    </w:p>
    <w:p w:rsidR="00B03ED0" w:rsidRPr="00B03ED0" w:rsidRDefault="00B03ED0" w:rsidP="00B03ED0">
      <w:pPr>
        <w:pStyle w:val="ListParagraph"/>
        <w:rPr>
          <w:rFonts w:ascii="Arial" w:hAnsi="Arial" w:cs="Arial"/>
          <w:bCs/>
          <w:sz w:val="24"/>
          <w:szCs w:val="22"/>
        </w:rPr>
      </w:pPr>
    </w:p>
    <w:p w:rsidR="00B03ED0" w:rsidRPr="00B03ED0" w:rsidRDefault="00B03ED0" w:rsidP="00B03ED0">
      <w:pPr>
        <w:pStyle w:val="ListParagraph"/>
        <w:numPr>
          <w:ilvl w:val="0"/>
          <w:numId w:val="42"/>
        </w:numPr>
        <w:rPr>
          <w:rFonts w:ascii="Arial" w:hAnsi="Arial" w:cs="Arial"/>
          <w:sz w:val="24"/>
          <w:szCs w:val="22"/>
        </w:rPr>
      </w:pPr>
      <w:r w:rsidRPr="00B03ED0">
        <w:rPr>
          <w:rFonts w:ascii="Arial" w:hAnsi="Arial" w:cs="Arial"/>
          <w:bCs/>
          <w:sz w:val="24"/>
          <w:szCs w:val="22"/>
        </w:rPr>
        <w:t>A proposal to CMS on a regional QRS sampling and reporting approach for California.  Lead discussions and negotiations with CMS, provide input to CMS Technical Expert Panel, and advise Covered California on the implications of final QRS rule-making, including Performance Guarantee requirements;</w:t>
      </w:r>
    </w:p>
    <w:p w:rsidR="00B03ED0" w:rsidRPr="00B03ED0" w:rsidRDefault="00B03ED0" w:rsidP="00B03ED0">
      <w:pPr>
        <w:pStyle w:val="ListParagraph"/>
        <w:rPr>
          <w:rFonts w:ascii="Arial" w:hAnsi="Arial" w:cs="Arial"/>
          <w:bCs/>
          <w:sz w:val="24"/>
          <w:szCs w:val="22"/>
        </w:rPr>
      </w:pPr>
    </w:p>
    <w:p w:rsidR="00B03ED0" w:rsidRPr="00B03ED0" w:rsidRDefault="00B03ED0" w:rsidP="00B03ED0">
      <w:pPr>
        <w:pStyle w:val="ListParagraph"/>
        <w:numPr>
          <w:ilvl w:val="0"/>
          <w:numId w:val="42"/>
        </w:numPr>
        <w:rPr>
          <w:rFonts w:ascii="Arial" w:hAnsi="Arial" w:cs="Arial"/>
          <w:sz w:val="24"/>
          <w:szCs w:val="22"/>
        </w:rPr>
      </w:pPr>
      <w:r w:rsidRPr="00B03ED0">
        <w:rPr>
          <w:rFonts w:ascii="Arial" w:hAnsi="Arial" w:cs="Arial"/>
          <w:bCs/>
          <w:sz w:val="24"/>
          <w:szCs w:val="22"/>
        </w:rPr>
        <w:t>Assistance with the implementation of QRS presentation of QHP results online consumer experience to pursue Covered California’s goal within the context of CMS requirements - Prepare business requirements for presentation of QRS plan ratings on “Get Insured” (CALHEERS) and “Shop &amp; Compare” to be displayed on the Covered California website;</w:t>
      </w:r>
    </w:p>
    <w:p w:rsidR="00B03ED0" w:rsidRPr="00B03ED0" w:rsidRDefault="00B03ED0" w:rsidP="00B03ED0">
      <w:pPr>
        <w:pStyle w:val="ListParagraph"/>
        <w:rPr>
          <w:rFonts w:ascii="Arial" w:hAnsi="Arial" w:cs="Arial"/>
          <w:bCs/>
          <w:sz w:val="24"/>
          <w:szCs w:val="22"/>
        </w:rPr>
      </w:pPr>
    </w:p>
    <w:p w:rsidR="00B03ED0" w:rsidRPr="00B03ED0" w:rsidRDefault="00B03ED0" w:rsidP="00B03ED0">
      <w:pPr>
        <w:pStyle w:val="ListParagraph"/>
        <w:numPr>
          <w:ilvl w:val="0"/>
          <w:numId w:val="42"/>
        </w:numPr>
        <w:rPr>
          <w:rFonts w:ascii="Arial" w:hAnsi="Arial" w:cs="Arial"/>
          <w:sz w:val="24"/>
          <w:szCs w:val="22"/>
        </w:rPr>
      </w:pPr>
      <w:r w:rsidRPr="00B03ED0">
        <w:rPr>
          <w:rFonts w:ascii="Arial" w:hAnsi="Arial" w:cs="Arial"/>
          <w:bCs/>
          <w:sz w:val="24"/>
          <w:szCs w:val="22"/>
        </w:rPr>
        <w:t>Provider directory and provider-level performance information for consumers - Design user experience approach and prepare business requirements for a quality of provider information service to support enrollees in search for providers and medical care services; and</w:t>
      </w:r>
    </w:p>
    <w:p w:rsidR="00B03ED0" w:rsidRPr="00B03ED0" w:rsidRDefault="00B03ED0" w:rsidP="00B03ED0">
      <w:pPr>
        <w:pStyle w:val="ListParagraph"/>
        <w:rPr>
          <w:rFonts w:ascii="Arial" w:hAnsi="Arial" w:cs="Arial"/>
          <w:bCs/>
          <w:sz w:val="24"/>
          <w:szCs w:val="22"/>
        </w:rPr>
      </w:pPr>
    </w:p>
    <w:p w:rsidR="00005418" w:rsidRPr="00B03ED0" w:rsidRDefault="00B03ED0" w:rsidP="00B03ED0">
      <w:pPr>
        <w:pStyle w:val="ListParagraph"/>
        <w:numPr>
          <w:ilvl w:val="0"/>
          <w:numId w:val="42"/>
        </w:numPr>
        <w:rPr>
          <w:rFonts w:ascii="Arial" w:hAnsi="Arial" w:cs="Arial"/>
          <w:sz w:val="24"/>
          <w:szCs w:val="22"/>
        </w:rPr>
      </w:pPr>
      <w:r w:rsidRPr="00B03ED0">
        <w:rPr>
          <w:rFonts w:ascii="Arial" w:hAnsi="Arial" w:cs="Arial"/>
          <w:bCs/>
          <w:sz w:val="24"/>
          <w:szCs w:val="22"/>
        </w:rPr>
        <w:t>An analysis of CAHPS care coordination, cultural competency, and other analysis - Analyze QHP 2015 results for CAHPS care coordination, cultural competency, and miscellaneous CAHPS topics; prepare quality improvement options.</w:t>
      </w:r>
    </w:p>
    <w:p w:rsidR="00B03ED0" w:rsidRDefault="00B03ED0" w:rsidP="00005418">
      <w:pPr>
        <w:ind w:left="720"/>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Default="00005418" w:rsidP="00005418">
      <w:pPr>
        <w:ind w:left="720"/>
        <w:rPr>
          <w:rFonts w:ascii="Arial" w:hAnsi="Arial" w:cs="Arial"/>
          <w:sz w:val="24"/>
          <w:szCs w:val="24"/>
        </w:rPr>
      </w:pPr>
    </w:p>
    <w:p w:rsidR="00B03ED0" w:rsidRDefault="00B03ED0" w:rsidP="00005418">
      <w:pPr>
        <w:ind w:left="720"/>
        <w:rPr>
          <w:rFonts w:ascii="Arial" w:hAnsi="Arial" w:cs="Arial"/>
          <w:sz w:val="24"/>
          <w:szCs w:val="24"/>
        </w:rPr>
      </w:pPr>
    </w:p>
    <w:p w:rsidR="00B03ED0" w:rsidRDefault="00B03ED0" w:rsidP="00005418">
      <w:pPr>
        <w:ind w:left="720"/>
        <w:rPr>
          <w:rFonts w:ascii="Arial" w:hAnsi="Arial" w:cs="Arial"/>
          <w:sz w:val="24"/>
          <w:szCs w:val="24"/>
        </w:rPr>
      </w:pPr>
    </w:p>
    <w:p w:rsidR="00B03ED0" w:rsidRDefault="00B03ED0" w:rsidP="00005418">
      <w:pPr>
        <w:ind w:left="720"/>
        <w:rPr>
          <w:rFonts w:ascii="Arial" w:hAnsi="Arial" w:cs="Arial"/>
          <w:sz w:val="24"/>
          <w:szCs w:val="24"/>
        </w:rPr>
      </w:pPr>
    </w:p>
    <w:p w:rsidR="00B03ED0" w:rsidRPr="00322729" w:rsidRDefault="00B03ED0" w:rsidP="00005418">
      <w:pPr>
        <w:ind w:left="720"/>
        <w:rPr>
          <w:rFonts w:ascii="Arial" w:hAnsi="Arial" w:cs="Arial"/>
          <w:sz w:val="24"/>
          <w:szCs w:val="24"/>
        </w:rPr>
      </w:pPr>
    </w:p>
    <w:p w:rsidR="001A2679" w:rsidRDefault="00B97EB1" w:rsidP="00B97EB1">
      <w:pPr>
        <w:ind w:left="720" w:hanging="720"/>
        <w:rPr>
          <w:rFonts w:ascii="Arial" w:hAnsi="Arial" w:cs="Arial"/>
          <w:b/>
          <w:sz w:val="24"/>
          <w:szCs w:val="24"/>
          <w:u w:val="single"/>
        </w:rPr>
      </w:pPr>
      <w:r>
        <w:rPr>
          <w:rFonts w:ascii="Arial" w:hAnsi="Arial" w:cs="Arial"/>
          <w:b/>
          <w:sz w:val="24"/>
          <w:szCs w:val="24"/>
        </w:rPr>
        <w:lastRenderedPageBreak/>
        <w:t>E.</w:t>
      </w:r>
      <w:r>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B03ED0" w:rsidRPr="00B03ED0" w:rsidRDefault="00B03ED0" w:rsidP="00005418">
      <w:pPr>
        <w:numPr>
          <w:ilvl w:val="0"/>
          <w:numId w:val="40"/>
        </w:numPr>
        <w:ind w:left="1440" w:hanging="720"/>
        <w:rPr>
          <w:rFonts w:ascii="Arial" w:hAnsi="Arial" w:cs="Arial"/>
          <w:sz w:val="28"/>
          <w:szCs w:val="24"/>
        </w:rPr>
      </w:pPr>
      <w:r w:rsidRPr="00B03ED0">
        <w:rPr>
          <w:rFonts w:ascii="Arial" w:hAnsi="Arial" w:cs="Arial"/>
          <w:sz w:val="24"/>
          <w:szCs w:val="22"/>
        </w:rPr>
        <w:t>Final Report/Analysis – proposal and analysis of the number of quality rating regions in California.  Provide guidance based on evidence of geographic variation across the state to determine final recommendation on the number of quality rating regions.</w:t>
      </w:r>
    </w:p>
    <w:p w:rsidR="00B03ED0" w:rsidRPr="00B03ED0" w:rsidRDefault="00B03ED0" w:rsidP="00B03ED0">
      <w:pPr>
        <w:pStyle w:val="ListParagraph"/>
        <w:rPr>
          <w:rFonts w:ascii="Arial" w:hAnsi="Arial" w:cs="Arial"/>
          <w:sz w:val="24"/>
          <w:szCs w:val="22"/>
        </w:rPr>
      </w:pPr>
    </w:p>
    <w:p w:rsidR="00B03ED0" w:rsidRPr="00B03ED0" w:rsidRDefault="00B03ED0" w:rsidP="00B03ED0">
      <w:pPr>
        <w:pStyle w:val="ListParagraph"/>
        <w:ind w:left="1440"/>
        <w:rPr>
          <w:rFonts w:ascii="Arial" w:hAnsi="Arial" w:cs="Arial"/>
          <w:sz w:val="24"/>
          <w:szCs w:val="22"/>
        </w:rPr>
      </w:pPr>
      <w:r w:rsidRPr="00B03ED0">
        <w:rPr>
          <w:rFonts w:ascii="Arial" w:hAnsi="Arial" w:cs="Arial"/>
          <w:sz w:val="24"/>
          <w:szCs w:val="22"/>
        </w:rPr>
        <w:t>Covered California QRS presentation of QHP results online consumer experience.</w:t>
      </w:r>
    </w:p>
    <w:p w:rsidR="00B03ED0" w:rsidRPr="00B03ED0" w:rsidRDefault="00B03ED0" w:rsidP="00B03ED0">
      <w:pPr>
        <w:pStyle w:val="ListParagraph"/>
        <w:ind w:left="1440"/>
        <w:rPr>
          <w:rFonts w:ascii="Arial" w:hAnsi="Arial" w:cs="Arial"/>
          <w:sz w:val="24"/>
          <w:szCs w:val="22"/>
        </w:rPr>
      </w:pPr>
    </w:p>
    <w:p w:rsidR="00B03ED0" w:rsidRPr="00B03ED0" w:rsidRDefault="00B03ED0" w:rsidP="00B03ED0">
      <w:pPr>
        <w:pStyle w:val="ListParagraph"/>
        <w:ind w:left="1440"/>
        <w:rPr>
          <w:rFonts w:ascii="Arial" w:hAnsi="Arial" w:cs="Arial"/>
          <w:sz w:val="24"/>
          <w:szCs w:val="22"/>
        </w:rPr>
      </w:pPr>
      <w:r w:rsidRPr="00B03ED0">
        <w:rPr>
          <w:rFonts w:ascii="Arial" w:hAnsi="Arial" w:cs="Arial"/>
          <w:sz w:val="24"/>
          <w:szCs w:val="22"/>
        </w:rPr>
        <w:t xml:space="preserve">Design user experience and prepare business requirements for – Provider directory and provider-level performance information for consumers. </w:t>
      </w:r>
    </w:p>
    <w:p w:rsidR="00B03ED0" w:rsidRPr="00B03ED0" w:rsidRDefault="00B03ED0" w:rsidP="00B03ED0">
      <w:pPr>
        <w:pStyle w:val="ListParagraph"/>
        <w:ind w:left="1440"/>
        <w:rPr>
          <w:rFonts w:ascii="Arial" w:hAnsi="Arial" w:cs="Arial"/>
          <w:sz w:val="24"/>
          <w:szCs w:val="22"/>
        </w:rPr>
      </w:pPr>
    </w:p>
    <w:p w:rsidR="00B03ED0" w:rsidRPr="00B03ED0" w:rsidRDefault="00B03ED0" w:rsidP="00B03ED0">
      <w:pPr>
        <w:pStyle w:val="ListParagraph"/>
        <w:ind w:left="1440"/>
        <w:rPr>
          <w:rFonts w:ascii="Arial" w:hAnsi="Arial" w:cs="Arial"/>
          <w:sz w:val="24"/>
          <w:szCs w:val="22"/>
        </w:rPr>
      </w:pPr>
      <w:r w:rsidRPr="00B03ED0">
        <w:rPr>
          <w:rFonts w:ascii="Arial" w:hAnsi="Arial" w:cs="Arial"/>
          <w:sz w:val="24"/>
          <w:szCs w:val="22"/>
        </w:rPr>
        <w:t>Analysis of CAHPS – 2015 and 2016 QHP results.</w:t>
      </w:r>
    </w:p>
    <w:p w:rsidR="00B03ED0" w:rsidRDefault="00B03ED0" w:rsidP="00B03ED0">
      <w:pPr>
        <w:ind w:left="1440"/>
        <w:rPr>
          <w:rFonts w:ascii="Arial" w:hAnsi="Arial" w:cs="Arial"/>
          <w:sz w:val="24"/>
          <w:szCs w:val="24"/>
        </w:rPr>
      </w:pPr>
    </w:p>
    <w:p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any deliverable shall be incorporated by the Contractor within seven 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Default="005D6E07" w:rsidP="005D6E07">
      <w:pPr>
        <w:ind w:left="1440"/>
        <w:rPr>
          <w:rFonts w:ascii="Arial" w:hAnsi="Arial" w:cs="Arial"/>
          <w:sz w:val="24"/>
          <w:szCs w:val="24"/>
        </w:rPr>
      </w:pPr>
    </w:p>
    <w:p w:rsidR="00B03ED0" w:rsidRDefault="00B03ED0" w:rsidP="005D6E07">
      <w:pPr>
        <w:ind w:left="1440"/>
        <w:rPr>
          <w:rFonts w:ascii="Arial" w:hAnsi="Arial" w:cs="Arial"/>
          <w:sz w:val="24"/>
          <w:szCs w:val="24"/>
        </w:rPr>
      </w:pPr>
    </w:p>
    <w:p w:rsidR="00B03ED0" w:rsidRPr="00322729" w:rsidRDefault="00B03ED0" w:rsidP="005D6E07">
      <w:pPr>
        <w:ind w:left="1440"/>
        <w:rPr>
          <w:rFonts w:ascii="Arial" w:hAnsi="Arial" w:cs="Arial"/>
          <w:sz w:val="24"/>
          <w:szCs w:val="24"/>
        </w:rPr>
      </w:pPr>
    </w:p>
    <w:p w:rsidR="005A3233" w:rsidRPr="00322729" w:rsidRDefault="00B97EB1" w:rsidP="00B97EB1">
      <w:pPr>
        <w:ind w:left="720" w:hanging="720"/>
        <w:rPr>
          <w:rFonts w:ascii="Arial" w:hAnsi="Arial" w:cs="Arial"/>
          <w:b/>
          <w:sz w:val="24"/>
          <w:szCs w:val="24"/>
        </w:rPr>
      </w:pPr>
      <w:r>
        <w:rPr>
          <w:rFonts w:ascii="Arial" w:hAnsi="Arial" w:cs="Arial"/>
          <w:b/>
          <w:sz w:val="24"/>
          <w:szCs w:val="24"/>
        </w:rPr>
        <w:lastRenderedPageBreak/>
        <w:t>F.</w:t>
      </w:r>
      <w:r>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B03ED0" w:rsidRDefault="00B03ED0" w:rsidP="00005418">
      <w:pPr>
        <w:ind w:left="720"/>
        <w:rPr>
          <w:rFonts w:ascii="Arial" w:hAnsi="Arial" w:cs="Arial"/>
          <w:sz w:val="24"/>
          <w:szCs w:val="24"/>
        </w:rPr>
      </w:pPr>
    </w:p>
    <w:p w:rsidR="00B03ED0" w:rsidRPr="00322729" w:rsidRDefault="00B03ED0"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A14AB">
      <w:rPr>
        <w:rFonts w:ascii="Arial" w:hAnsi="Arial" w:cs="Arial"/>
        <w:noProof/>
      </w:rPr>
      <w:t>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A14AB">
      <w:rPr>
        <w:rFonts w:ascii="Arial" w:hAnsi="Arial" w:cs="Arial"/>
        <w:noProof/>
      </w:rPr>
      <w:t>4</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3A14AB" w:rsidP="003A14AB">
    <w:pPr>
      <w:pStyle w:val="Header"/>
      <w:jc w:val="center"/>
      <w:rPr>
        <w:rFonts w:ascii="Arial" w:hAnsi="Arial" w:cs="Arial"/>
      </w:rPr>
    </w:pPr>
    <w:r>
      <w:rPr>
        <w:rFonts w:ascii="Arial" w:hAnsi="Arial" w:cs="Arial"/>
      </w:rPr>
      <w:t xml:space="preserve">Attachment </w:t>
    </w:r>
    <w:r>
      <w:rPr>
        <w:rFonts w:ascii="Arial" w:hAnsi="Arial" w:cs="Arial"/>
      </w:rPr>
      <w:t>2_B</w:t>
    </w:r>
    <w:bookmarkStart w:id="0" w:name="_GoBack"/>
    <w:bookmarkEnd w:id="0"/>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2"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7"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8936595"/>
    <w:multiLevelType w:val="hybridMultilevel"/>
    <w:tmpl w:val="A964CE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4"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6"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29"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0"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5"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38"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39"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0"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2"/>
  </w:num>
  <w:num w:numId="2">
    <w:abstractNumId w:val="19"/>
  </w:num>
  <w:num w:numId="3">
    <w:abstractNumId w:val="34"/>
  </w:num>
  <w:num w:numId="4">
    <w:abstractNumId w:val="28"/>
  </w:num>
  <w:num w:numId="5">
    <w:abstractNumId w:val="29"/>
  </w:num>
  <w:num w:numId="6">
    <w:abstractNumId w:val="4"/>
  </w:num>
  <w:num w:numId="7">
    <w:abstractNumId w:val="16"/>
  </w:num>
  <w:num w:numId="8">
    <w:abstractNumId w:val="37"/>
  </w:num>
  <w:num w:numId="9">
    <w:abstractNumId w:val="1"/>
  </w:num>
  <w:num w:numId="10">
    <w:abstractNumId w:val="38"/>
  </w:num>
  <w:num w:numId="11">
    <w:abstractNumId w:val="23"/>
  </w:num>
  <w:num w:numId="12">
    <w:abstractNumId w:val="40"/>
  </w:num>
  <w:num w:numId="13">
    <w:abstractNumId w:val="13"/>
  </w:num>
  <w:num w:numId="14">
    <w:abstractNumId w:val="11"/>
  </w:num>
  <w:num w:numId="15">
    <w:abstractNumId w:val="12"/>
  </w:num>
  <w:num w:numId="16">
    <w:abstractNumId w:val="30"/>
  </w:num>
  <w:num w:numId="17">
    <w:abstractNumId w:val="24"/>
  </w:num>
  <w:num w:numId="18">
    <w:abstractNumId w:val="18"/>
  </w:num>
  <w:num w:numId="19">
    <w:abstractNumId w:val="14"/>
  </w:num>
  <w:num w:numId="20">
    <w:abstractNumId w:val="2"/>
  </w:num>
  <w:num w:numId="21">
    <w:abstractNumId w:val="3"/>
  </w:num>
  <w:num w:numId="22">
    <w:abstractNumId w:val="25"/>
  </w:num>
  <w:num w:numId="23">
    <w:abstractNumId w:val="7"/>
  </w:num>
  <w:num w:numId="24">
    <w:abstractNumId w:val="27"/>
  </w:num>
  <w:num w:numId="25">
    <w:abstractNumId w:val="26"/>
  </w:num>
  <w:num w:numId="26">
    <w:abstractNumId w:val="9"/>
  </w:num>
  <w:num w:numId="27">
    <w:abstractNumId w:val="17"/>
  </w:num>
  <w:num w:numId="28">
    <w:abstractNumId w:val="5"/>
  </w:num>
  <w:num w:numId="29">
    <w:abstractNumId w:val="31"/>
  </w:num>
  <w:num w:numId="30">
    <w:abstractNumId w:val="0"/>
  </w:num>
  <w:num w:numId="31">
    <w:abstractNumId w:val="20"/>
  </w:num>
  <w:num w:numId="32">
    <w:abstractNumId w:val="39"/>
  </w:num>
  <w:num w:numId="33">
    <w:abstractNumId w:val="10"/>
  </w:num>
  <w:num w:numId="34">
    <w:abstractNumId w:val="36"/>
  </w:num>
  <w:num w:numId="35">
    <w:abstractNumId w:val="22"/>
  </w:num>
  <w:num w:numId="36">
    <w:abstractNumId w:val="35"/>
  </w:num>
  <w:num w:numId="37">
    <w:abstractNumId w:val="33"/>
  </w:num>
  <w:num w:numId="3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6"/>
  </w:num>
  <w:num w:numId="41">
    <w:abstractNumId w:val="8"/>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14AB"/>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03ED0"/>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3E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31B43-B2AA-4411-9381-EBD71363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6550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2015-12-09T17:45:00Z</dcterms:modified>
</cp:coreProperties>
</file>